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13" w:rsidRPr="000B0B44" w:rsidRDefault="00457F13" w:rsidP="00457F13">
      <w:pPr>
        <w:spacing w:line="300" w:lineRule="exact"/>
        <w:jc w:val="center"/>
        <w:rPr>
          <w:rFonts w:asciiTheme="minorHAnsi" w:eastAsiaTheme="minorEastAsia" w:hAnsiTheme="minorHAnsi" w:cstheme="majorHAnsi"/>
          <w:color w:val="000000"/>
        </w:rPr>
      </w:pPr>
      <w:r w:rsidRPr="000B0B44">
        <w:rPr>
          <w:rFonts w:asciiTheme="minorHAnsi" w:eastAsiaTheme="minorEastAsia" w:hAnsiTheme="minorHAnsi" w:cstheme="majorHAnsi"/>
          <w:color w:val="000000"/>
        </w:rPr>
        <w:t>The 26th International Display Workshops (IDW '19)</w:t>
      </w:r>
    </w:p>
    <w:p w:rsidR="00251F89" w:rsidRDefault="00251F89">
      <w:bookmarkStart w:id="0" w:name="_GoBack"/>
      <w:bookmarkEnd w:id="0"/>
    </w:p>
    <w:p w:rsidR="00A52668" w:rsidRDefault="00457F13" w:rsidP="00457F13">
      <w:pPr>
        <w:rPr>
          <w:sz w:val="21"/>
          <w:szCs w:val="21"/>
        </w:rPr>
      </w:pPr>
      <w:r w:rsidRPr="00457F13">
        <w:rPr>
          <w:sz w:val="21"/>
          <w:szCs w:val="21"/>
        </w:rPr>
        <w:t xml:space="preserve">Organizers: </w:t>
      </w:r>
    </w:p>
    <w:p w:rsidR="00457F13" w:rsidRPr="00457F13" w:rsidRDefault="00457F13" w:rsidP="00A52668">
      <w:pPr>
        <w:ind w:leftChars="472" w:left="1133"/>
        <w:rPr>
          <w:sz w:val="21"/>
          <w:szCs w:val="21"/>
        </w:rPr>
      </w:pPr>
      <w:r w:rsidRPr="00457F13">
        <w:rPr>
          <w:sz w:val="21"/>
          <w:szCs w:val="21"/>
        </w:rPr>
        <w:t>The Institute of Information Television and Engineers (ITE)</w:t>
      </w:r>
    </w:p>
    <w:p w:rsidR="00457F13" w:rsidRDefault="00457F13" w:rsidP="001F75C1">
      <w:pPr>
        <w:spacing w:line="276" w:lineRule="auto"/>
        <w:ind w:leftChars="472" w:left="1133" w:firstLine="1"/>
        <w:rPr>
          <w:sz w:val="21"/>
          <w:szCs w:val="21"/>
        </w:rPr>
      </w:pPr>
      <w:r w:rsidRPr="00457F13">
        <w:rPr>
          <w:sz w:val="21"/>
          <w:szCs w:val="21"/>
        </w:rPr>
        <w:t>The Society for Information Display (SID)</w:t>
      </w:r>
    </w:p>
    <w:p w:rsidR="00457F13" w:rsidRDefault="00457F13" w:rsidP="00457F13">
      <w:pPr>
        <w:ind w:left="1287" w:hangingChars="613" w:hanging="1287"/>
        <w:rPr>
          <w:sz w:val="21"/>
          <w:szCs w:val="21"/>
        </w:rPr>
      </w:pPr>
      <w:r w:rsidRPr="00457F13">
        <w:rPr>
          <w:sz w:val="21"/>
          <w:szCs w:val="21"/>
        </w:rPr>
        <w:t>Supporting Organizations</w:t>
      </w:r>
      <w:r>
        <w:rPr>
          <w:sz w:val="21"/>
          <w:szCs w:val="21"/>
        </w:rPr>
        <w:t xml:space="preserve"> (Tentative): </w:t>
      </w:r>
    </w:p>
    <w:p w:rsidR="00457F13" w:rsidRDefault="00A52668" w:rsidP="001F75C1">
      <w:pPr>
        <w:spacing w:line="240" w:lineRule="auto"/>
        <w:ind w:leftChars="472" w:left="1135" w:hanging="2"/>
        <w:rPr>
          <w:sz w:val="21"/>
          <w:szCs w:val="21"/>
        </w:rPr>
      </w:pPr>
      <w:r w:rsidRPr="00A52668">
        <w:rPr>
          <w:sz w:val="21"/>
          <w:szCs w:val="21"/>
        </w:rPr>
        <w:t xml:space="preserve">The Japan Society of Applied Physics, The Institute of Image Electronics Engineers of Japan, The Society of Polymer Science, Japan, The Society of Automotive Engineers of Japan, The Illuminating Engineering Institute of Japan, The Electrochemical Society of Japan, The Institute of Electrical Engineers of Japan, The Institute of Electronics, Information and Communication Engineers, The Japanese Liquid Crystal Society, The Chemical Society of Japan, The Imaging Society of Japan, The Optical Society of Japan, Vision Society of Japan, The Japan Ergonomics Society, The Virtual Reality Society of Japan, The Society of Instrument and Control Engineers, Information Processing Society of Japan, The Japanese Society for Artificial Intelligence, International </w:t>
      </w:r>
      <w:proofErr w:type="spellStart"/>
      <w:r w:rsidRPr="00A52668">
        <w:rPr>
          <w:sz w:val="21"/>
          <w:szCs w:val="21"/>
        </w:rPr>
        <w:t>Electrotechnical</w:t>
      </w:r>
      <w:proofErr w:type="spellEnd"/>
      <w:r w:rsidRPr="00A52668">
        <w:rPr>
          <w:sz w:val="21"/>
          <w:szCs w:val="21"/>
        </w:rPr>
        <w:t xml:space="preserve"> Commission.</w:t>
      </w:r>
    </w:p>
    <w:p w:rsidR="00A52668" w:rsidRDefault="00A52668" w:rsidP="001F75C1">
      <w:pPr>
        <w:spacing w:line="276" w:lineRule="auto"/>
        <w:rPr>
          <w:sz w:val="21"/>
          <w:szCs w:val="21"/>
        </w:rPr>
      </w:pPr>
      <w:r w:rsidRPr="00A52668">
        <w:rPr>
          <w:sz w:val="21"/>
          <w:szCs w:val="21"/>
        </w:rPr>
        <w:t>Date</w:t>
      </w:r>
      <w:r>
        <w:rPr>
          <w:sz w:val="21"/>
          <w:szCs w:val="21"/>
        </w:rPr>
        <w:t>: November 27(Wed.) to November 29(Fri.)</w:t>
      </w:r>
    </w:p>
    <w:p w:rsidR="00A52668" w:rsidRDefault="00A52668" w:rsidP="001F75C1">
      <w:pPr>
        <w:spacing w:line="276" w:lineRule="auto"/>
        <w:rPr>
          <w:sz w:val="21"/>
          <w:szCs w:val="21"/>
        </w:rPr>
      </w:pPr>
      <w:r w:rsidRPr="00A52668">
        <w:rPr>
          <w:sz w:val="21"/>
          <w:szCs w:val="21"/>
        </w:rPr>
        <w:t>Venue</w:t>
      </w:r>
      <w:r>
        <w:rPr>
          <w:sz w:val="21"/>
          <w:szCs w:val="21"/>
        </w:rPr>
        <w:t xml:space="preserve">: </w:t>
      </w:r>
      <w:r w:rsidRPr="00A52668">
        <w:rPr>
          <w:sz w:val="21"/>
          <w:szCs w:val="21"/>
        </w:rPr>
        <w:t>Sapporo Convention Center</w:t>
      </w:r>
      <w:r>
        <w:rPr>
          <w:sz w:val="21"/>
          <w:szCs w:val="21"/>
        </w:rPr>
        <w:t xml:space="preserve"> (Sapporo City, Hokkaido)</w:t>
      </w:r>
    </w:p>
    <w:p w:rsidR="002047E6" w:rsidRDefault="002047E6" w:rsidP="002047E6">
      <w:pPr>
        <w:rPr>
          <w:sz w:val="21"/>
          <w:szCs w:val="21"/>
        </w:rPr>
      </w:pPr>
      <w:r>
        <w:rPr>
          <w:rFonts w:hint="eastAsia"/>
          <w:sz w:val="21"/>
          <w:szCs w:val="21"/>
        </w:rPr>
        <w:t xml:space="preserve">Composition of </w:t>
      </w:r>
      <w:r>
        <w:rPr>
          <w:sz w:val="21"/>
          <w:szCs w:val="21"/>
        </w:rPr>
        <w:t xml:space="preserve">IDW ’19: </w:t>
      </w:r>
    </w:p>
    <w:p w:rsidR="00A52668" w:rsidRDefault="00244542" w:rsidP="00F6576D">
      <w:pPr>
        <w:ind w:leftChars="118" w:left="283" w:firstLineChars="68" w:firstLine="143"/>
        <w:rPr>
          <w:sz w:val="21"/>
          <w:szCs w:val="21"/>
        </w:rPr>
      </w:pPr>
      <w:r w:rsidRPr="000B0B44">
        <w:rPr>
          <w:sz w:val="21"/>
          <w:szCs w:val="21"/>
        </w:rPr>
        <w:t>The 26th International Display Workshops (IDW '19) will be held over a three-day period</w:t>
      </w:r>
      <w:r w:rsidR="002047E6" w:rsidRPr="000B0B44">
        <w:rPr>
          <w:sz w:val="21"/>
          <w:szCs w:val="21"/>
        </w:rPr>
        <w:t xml:space="preserve"> </w:t>
      </w:r>
      <w:r w:rsidRPr="000B0B44">
        <w:rPr>
          <w:sz w:val="21"/>
          <w:szCs w:val="21"/>
        </w:rPr>
        <w:t>in</w:t>
      </w:r>
      <w:r w:rsidR="00F6576D" w:rsidRPr="000B0B44">
        <w:rPr>
          <w:sz w:val="21"/>
          <w:szCs w:val="21"/>
        </w:rPr>
        <w:t xml:space="preserve"> the field of electronic information display technology</w:t>
      </w:r>
      <w:r w:rsidR="00F6576D" w:rsidRPr="000B0B44">
        <w:rPr>
          <w:rFonts w:hint="eastAsia"/>
          <w:sz w:val="21"/>
          <w:szCs w:val="21"/>
        </w:rPr>
        <w:t>.</w:t>
      </w:r>
      <w:r w:rsidR="00F6576D">
        <w:rPr>
          <w:rFonts w:hint="eastAsia"/>
          <w:sz w:val="21"/>
          <w:szCs w:val="21"/>
        </w:rPr>
        <w:t xml:space="preserve"> </w:t>
      </w:r>
      <w:r w:rsidR="00F6576D" w:rsidRPr="00F6576D">
        <w:rPr>
          <w:sz w:val="21"/>
          <w:szCs w:val="21"/>
        </w:rPr>
        <w:t xml:space="preserve">At IDW ’19, the Keynote Addresses will be given firstly by </w:t>
      </w:r>
      <w:r w:rsidR="000B0B44" w:rsidRPr="00F6576D">
        <w:rPr>
          <w:sz w:val="21"/>
          <w:szCs w:val="21"/>
        </w:rPr>
        <w:t xml:space="preserve">Dr. Yasuhisa Itoh, </w:t>
      </w:r>
      <w:r w:rsidR="00F6576D" w:rsidRPr="00F6576D">
        <w:rPr>
          <w:sz w:val="21"/>
          <w:szCs w:val="21"/>
        </w:rPr>
        <w:t>the Director of R&amp;D Center, Display De</w:t>
      </w:r>
      <w:r w:rsidR="000B0B44">
        <w:rPr>
          <w:sz w:val="21"/>
          <w:szCs w:val="21"/>
        </w:rPr>
        <w:t>vice Company, Sharp Corporation</w:t>
      </w:r>
      <w:r w:rsidR="000B0B44">
        <w:rPr>
          <w:rFonts w:hint="eastAsia"/>
          <w:sz w:val="21"/>
          <w:szCs w:val="21"/>
        </w:rPr>
        <w:t>.</w:t>
      </w:r>
      <w:r w:rsidR="00F6576D" w:rsidRPr="00F6576D">
        <w:rPr>
          <w:sz w:val="21"/>
          <w:szCs w:val="21"/>
        </w:rPr>
        <w:t xml:space="preserve"> </w:t>
      </w:r>
      <w:r w:rsidR="000B0B44">
        <w:rPr>
          <w:sz w:val="21"/>
          <w:szCs w:val="21"/>
        </w:rPr>
        <w:t>He</w:t>
      </w:r>
      <w:r w:rsidR="00F6576D" w:rsidRPr="00F6576D">
        <w:rPr>
          <w:sz w:val="21"/>
          <w:szCs w:val="21"/>
        </w:rPr>
        <w:t xml:space="preserve"> will deliver a speech touching upon the latest trends in the display technologies that Sharp is currently working on, and provide some general remarks about the future from the academic and professional perspectives of research and technology. The next speaker will be Dr. Taro </w:t>
      </w:r>
      <w:proofErr w:type="spellStart"/>
      <w:r w:rsidR="00F6576D" w:rsidRPr="00F6576D">
        <w:rPr>
          <w:sz w:val="21"/>
          <w:szCs w:val="21"/>
        </w:rPr>
        <w:t>Oike</w:t>
      </w:r>
      <w:proofErr w:type="spellEnd"/>
      <w:r w:rsidR="00F6576D" w:rsidRPr="00F6576D">
        <w:rPr>
          <w:sz w:val="21"/>
          <w:szCs w:val="21"/>
        </w:rPr>
        <w:t xml:space="preserve"> of Infotainment and Control Model Development Department, Integrated Control System Development Division, MAZDA Motor Corporation. He will offer an overview of the human-machine interface (HMI) cockpits that many vehicle manufacturers are now involved with, and describe what Mazda’s philosophy of human-centered vehicle manufacturing is. Professor Kei May Lau of The Hong Kong University of Science and Technology, who is a forerunner in the field of Micro LED, will give an all-encompassing speech about basic and applied research on Micro LEDs and its advantages and possibilities. Finally, Dr. </w:t>
      </w:r>
      <w:proofErr w:type="spellStart"/>
      <w:r w:rsidR="00F6576D" w:rsidRPr="00F6576D">
        <w:rPr>
          <w:sz w:val="21"/>
          <w:szCs w:val="21"/>
        </w:rPr>
        <w:t>Achin</w:t>
      </w:r>
      <w:proofErr w:type="spellEnd"/>
      <w:r w:rsidR="00F6576D" w:rsidRPr="00F6576D">
        <w:rPr>
          <w:sz w:val="21"/>
          <w:szCs w:val="21"/>
        </w:rPr>
        <w:t xml:space="preserve"> </w:t>
      </w:r>
      <w:proofErr w:type="spellStart"/>
      <w:r w:rsidR="00F6576D" w:rsidRPr="00F6576D">
        <w:rPr>
          <w:sz w:val="21"/>
          <w:szCs w:val="21"/>
        </w:rPr>
        <w:t>Bhowmik</w:t>
      </w:r>
      <w:proofErr w:type="spellEnd"/>
      <w:r w:rsidR="00F6576D" w:rsidRPr="00F6576D">
        <w:rPr>
          <w:sz w:val="21"/>
          <w:szCs w:val="21"/>
        </w:rPr>
        <w:t xml:space="preserve"> of Starkey Hearing Technologies will give an address on image recognition and cognition through AI and deep learning, and their relationship with displays.</w:t>
      </w:r>
      <w:r w:rsidR="004D5758" w:rsidRPr="004D5758">
        <w:t xml:space="preserve"> </w:t>
      </w:r>
      <w:r w:rsidR="004D5758" w:rsidRPr="004D5758">
        <w:rPr>
          <w:sz w:val="21"/>
          <w:szCs w:val="21"/>
        </w:rPr>
        <w:t xml:space="preserve">IDW '19 is composed of 13 Workshops (WSs) categorized by fundamental display technology and topical sessions (TSs) for new technologies. This year, Artificial Intelligence and Smart Society will be held as a TS. Furthermore, the 11th International Conference on Three Dimensional Systems and Applications (3DSA), an international conference that is hosted in rotation by Japan, South Korea and Taiwan, will be jointly held. The topics </w:t>
      </w:r>
      <w:r w:rsidR="004D5758" w:rsidRPr="004D5758">
        <w:rPr>
          <w:sz w:val="21"/>
          <w:szCs w:val="21"/>
        </w:rPr>
        <w:lastRenderedPageBreak/>
        <w:t>pertaining to several WSs or TSs will be covered in Special Topics of Interest (STIs) that will be collaboratively designed by the respective WSs and TSs. STIs for IDW ’19 will highlight the following hot topics: 1) AR/VR and Hyper Reality, 2) Automotive Displays, 3) Micro/Mini LEDs and 4) Quantum Dot Technologies. By turning the spotlight on these areas, conference participants will easily be able to obtain an overarching perspective. Furthermore, we will also continue with the Innovative Demonstration Session that simultaneously exhibits the actual results of the speakers together in a single space.</w:t>
      </w:r>
    </w:p>
    <w:p w:rsidR="00457A61" w:rsidRDefault="001F75C1" w:rsidP="00F6576D">
      <w:pPr>
        <w:ind w:leftChars="118" w:left="283" w:firstLineChars="68" w:firstLine="143"/>
        <w:rPr>
          <w:sz w:val="21"/>
          <w:szCs w:val="21"/>
        </w:rPr>
      </w:pPr>
      <w:r w:rsidRPr="001F75C1">
        <w:rPr>
          <w:sz w:val="21"/>
          <w:szCs w:val="21"/>
        </w:rPr>
        <w:t xml:space="preserve">For details, please refer to the IDW website: </w:t>
      </w:r>
      <w:hyperlink r:id="rId4" w:history="1">
        <w:r w:rsidR="00457A61" w:rsidRPr="001F75C1">
          <w:rPr>
            <w:rStyle w:val="a3"/>
            <w:sz w:val="21"/>
            <w:szCs w:val="21"/>
          </w:rPr>
          <w:t>https://www.idw.or.jp/</w:t>
        </w:r>
      </w:hyperlink>
    </w:p>
    <w:p w:rsidR="00457A61" w:rsidRDefault="00457A61" w:rsidP="00F6576D">
      <w:pPr>
        <w:ind w:leftChars="118" w:left="283" w:firstLineChars="68" w:firstLine="143"/>
        <w:rPr>
          <w:sz w:val="21"/>
          <w:szCs w:val="21"/>
        </w:rPr>
      </w:pPr>
    </w:p>
    <w:p w:rsidR="00457A61" w:rsidRDefault="00457A61" w:rsidP="001F75C1">
      <w:pPr>
        <w:spacing w:line="276" w:lineRule="auto"/>
        <w:ind w:leftChars="118" w:left="283" w:firstLineChars="338" w:firstLine="710"/>
        <w:rPr>
          <w:sz w:val="21"/>
          <w:szCs w:val="21"/>
        </w:rPr>
      </w:pPr>
      <w:r w:rsidRPr="00457A61">
        <w:rPr>
          <w:sz w:val="21"/>
          <w:szCs w:val="21"/>
        </w:rPr>
        <w:t>Conference Language: English</w:t>
      </w:r>
    </w:p>
    <w:p w:rsidR="00457A61" w:rsidRDefault="00457A61" w:rsidP="001F75C1">
      <w:pPr>
        <w:spacing w:line="276" w:lineRule="auto"/>
        <w:ind w:leftChars="118" w:left="283" w:firstLineChars="338" w:firstLine="710"/>
        <w:rPr>
          <w:sz w:val="21"/>
          <w:szCs w:val="21"/>
        </w:rPr>
      </w:pPr>
      <w:r w:rsidRPr="000B0B44">
        <w:rPr>
          <w:rFonts w:hint="eastAsia"/>
          <w:sz w:val="21"/>
          <w:szCs w:val="21"/>
        </w:rPr>
        <w:t xml:space="preserve">Registration </w:t>
      </w:r>
      <w:r w:rsidR="001F75C1" w:rsidRPr="000B0B44">
        <w:rPr>
          <w:sz w:val="21"/>
          <w:szCs w:val="21"/>
        </w:rPr>
        <w:t>is available from:</w:t>
      </w:r>
      <w:r w:rsidRPr="000B0B44">
        <w:rPr>
          <w:sz w:val="21"/>
          <w:szCs w:val="21"/>
        </w:rPr>
        <w:t xml:space="preserve"> </w:t>
      </w:r>
      <w:hyperlink r:id="rId5" w:history="1">
        <w:r w:rsidRPr="000B0B44">
          <w:rPr>
            <w:rStyle w:val="a3"/>
            <w:sz w:val="21"/>
            <w:szCs w:val="21"/>
          </w:rPr>
          <w:t>https://www.idw.or.jp/</w:t>
        </w:r>
      </w:hyperlink>
    </w:p>
    <w:p w:rsidR="00457A61" w:rsidRDefault="00457A61" w:rsidP="001F75C1">
      <w:pPr>
        <w:spacing w:line="276" w:lineRule="auto"/>
        <w:ind w:leftChars="118" w:left="283" w:firstLineChars="338" w:firstLine="710"/>
        <w:rPr>
          <w:sz w:val="21"/>
          <w:szCs w:val="21"/>
        </w:rPr>
      </w:pPr>
      <w:r w:rsidRPr="00457A61">
        <w:rPr>
          <w:sz w:val="21"/>
          <w:szCs w:val="21"/>
        </w:rPr>
        <w:t>Deadlines and key dates:</w:t>
      </w:r>
    </w:p>
    <w:tbl>
      <w:tblPr>
        <w:tblStyle w:val="a4"/>
        <w:tblW w:w="0" w:type="auto"/>
        <w:tblInd w:w="2235" w:type="dxa"/>
        <w:tblLook w:val="04A0" w:firstRow="1" w:lastRow="0" w:firstColumn="1" w:lastColumn="0" w:noHBand="0" w:noVBand="1"/>
      </w:tblPr>
      <w:tblGrid>
        <w:gridCol w:w="4920"/>
        <w:gridCol w:w="2581"/>
      </w:tblGrid>
      <w:tr w:rsidR="00457A61" w:rsidRPr="000B0B44" w:rsidTr="00AD289E">
        <w:trPr>
          <w:trHeight w:val="20"/>
        </w:trPr>
        <w:tc>
          <w:tcPr>
            <w:tcW w:w="5273" w:type="dxa"/>
          </w:tcPr>
          <w:p w:rsidR="00457A61" w:rsidRPr="000B0B44" w:rsidRDefault="00457A61"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Submission of Technical Summary</w:t>
            </w:r>
          </w:p>
        </w:tc>
        <w:tc>
          <w:tcPr>
            <w:tcW w:w="2714" w:type="dxa"/>
          </w:tcPr>
          <w:p w:rsidR="00457A61" w:rsidRPr="000B0B44" w:rsidRDefault="00457A61"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June 19, 2019</w:t>
            </w:r>
          </w:p>
        </w:tc>
      </w:tr>
      <w:tr w:rsidR="00457A61" w:rsidRPr="000B0B44" w:rsidTr="00AD289E">
        <w:trPr>
          <w:trHeight w:val="20"/>
        </w:trPr>
        <w:tc>
          <w:tcPr>
            <w:tcW w:w="5273" w:type="dxa"/>
          </w:tcPr>
          <w:p w:rsidR="00457A61" w:rsidRPr="000B0B44" w:rsidRDefault="00457A61"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Acceptance Notification</w:t>
            </w:r>
          </w:p>
        </w:tc>
        <w:tc>
          <w:tcPr>
            <w:tcW w:w="2714" w:type="dxa"/>
          </w:tcPr>
          <w:p w:rsidR="00457A61" w:rsidRPr="000B0B44" w:rsidRDefault="00457A61"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July 22, 2019</w:t>
            </w:r>
          </w:p>
        </w:tc>
      </w:tr>
      <w:tr w:rsidR="00457A61" w:rsidRPr="000B0B44" w:rsidTr="00AD289E">
        <w:trPr>
          <w:trHeight w:val="20"/>
        </w:trPr>
        <w:tc>
          <w:tcPr>
            <w:tcW w:w="5273" w:type="dxa"/>
          </w:tcPr>
          <w:p w:rsidR="00457A61" w:rsidRPr="000B0B44" w:rsidRDefault="00AD289E" w:rsidP="00AD289E">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Submission of Camera-Ready Manuscript &amp; Abstract</w:t>
            </w:r>
          </w:p>
        </w:tc>
        <w:tc>
          <w:tcPr>
            <w:tcW w:w="2714"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September 4, 2019</w:t>
            </w:r>
          </w:p>
        </w:tc>
      </w:tr>
      <w:tr w:rsidR="00457A61" w:rsidRPr="000B0B44" w:rsidTr="00AD289E">
        <w:trPr>
          <w:trHeight w:val="20"/>
        </w:trPr>
        <w:tc>
          <w:tcPr>
            <w:tcW w:w="5273"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Submission of Late-News Paper</w:t>
            </w:r>
          </w:p>
        </w:tc>
        <w:tc>
          <w:tcPr>
            <w:tcW w:w="2714"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September 17, 2019</w:t>
            </w:r>
          </w:p>
        </w:tc>
      </w:tr>
      <w:tr w:rsidR="00457A61" w:rsidRPr="000B0B44" w:rsidTr="00AD289E">
        <w:trPr>
          <w:trHeight w:val="20"/>
        </w:trPr>
        <w:tc>
          <w:tcPr>
            <w:tcW w:w="5273" w:type="dxa"/>
          </w:tcPr>
          <w:p w:rsidR="00457A61" w:rsidRPr="000B0B44" w:rsidRDefault="00AD289E" w:rsidP="003B3DC2">
            <w:pPr>
              <w:tabs>
                <w:tab w:val="left" w:pos="5300"/>
              </w:tabs>
              <w:spacing w:beforeLines="50" w:before="180" w:line="300" w:lineRule="exact"/>
              <w:ind w:rightChars="-218" w:right="-523"/>
              <w:jc w:val="left"/>
              <w:rPr>
                <w:rFonts w:eastAsia="SimSun" w:cstheme="majorHAnsi"/>
                <w:sz w:val="21"/>
                <w:szCs w:val="21"/>
                <w:lang w:eastAsia="zh-CN"/>
              </w:rPr>
            </w:pPr>
            <w:r w:rsidRPr="000B0B44">
              <w:rPr>
                <w:rFonts w:eastAsiaTheme="minorEastAsia" w:cstheme="majorHAnsi"/>
                <w:sz w:val="21"/>
                <w:szCs w:val="21"/>
                <w:lang w:eastAsia="zh-CN"/>
              </w:rPr>
              <w:t>Early Bird Registration Discount</w:t>
            </w:r>
          </w:p>
        </w:tc>
        <w:tc>
          <w:tcPr>
            <w:tcW w:w="2714"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October 25, 2019</w:t>
            </w:r>
          </w:p>
        </w:tc>
      </w:tr>
      <w:tr w:rsidR="00457A61" w:rsidRPr="000B0B44" w:rsidTr="00AD289E">
        <w:trPr>
          <w:trHeight w:val="20"/>
        </w:trPr>
        <w:tc>
          <w:tcPr>
            <w:tcW w:w="5273"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On-line registration</w:t>
            </w:r>
          </w:p>
        </w:tc>
        <w:tc>
          <w:tcPr>
            <w:tcW w:w="2714" w:type="dxa"/>
          </w:tcPr>
          <w:p w:rsidR="00457A61" w:rsidRPr="000B0B44" w:rsidRDefault="00AD289E" w:rsidP="003B3DC2">
            <w:pPr>
              <w:tabs>
                <w:tab w:val="left" w:pos="5300"/>
              </w:tabs>
              <w:spacing w:beforeLines="50" w:before="180" w:line="300" w:lineRule="exact"/>
              <w:ind w:rightChars="-218" w:right="-523"/>
              <w:jc w:val="left"/>
              <w:rPr>
                <w:rFonts w:eastAsiaTheme="minorEastAsia" w:cstheme="majorHAnsi"/>
                <w:sz w:val="21"/>
                <w:szCs w:val="21"/>
              </w:rPr>
            </w:pPr>
            <w:r w:rsidRPr="000B0B44">
              <w:rPr>
                <w:rFonts w:eastAsiaTheme="minorEastAsia" w:cstheme="majorHAnsi"/>
                <w:sz w:val="21"/>
                <w:szCs w:val="21"/>
              </w:rPr>
              <w:t>November 15, 2019</w:t>
            </w:r>
          </w:p>
        </w:tc>
      </w:tr>
    </w:tbl>
    <w:p w:rsidR="00AD289E" w:rsidRDefault="00AD289E" w:rsidP="00AD289E">
      <w:pPr>
        <w:ind w:leftChars="118" w:left="283" w:firstLineChars="68" w:firstLine="143"/>
        <w:rPr>
          <w:sz w:val="21"/>
          <w:szCs w:val="21"/>
        </w:rPr>
      </w:pPr>
    </w:p>
    <w:p w:rsidR="00AD289E" w:rsidRPr="00AD289E" w:rsidRDefault="00AD289E" w:rsidP="00AD289E">
      <w:pPr>
        <w:ind w:leftChars="118" w:left="283" w:firstLineChars="68" w:firstLine="143"/>
        <w:rPr>
          <w:sz w:val="21"/>
          <w:szCs w:val="21"/>
        </w:rPr>
      </w:pPr>
      <w:r w:rsidRPr="00AD289E">
        <w:rPr>
          <w:sz w:val="21"/>
          <w:szCs w:val="21"/>
        </w:rPr>
        <w:t>Contact Information</w:t>
      </w:r>
      <w:r>
        <w:rPr>
          <w:sz w:val="21"/>
          <w:szCs w:val="21"/>
        </w:rPr>
        <w:t xml:space="preserve">: </w:t>
      </w:r>
      <w:r w:rsidRPr="00AD289E">
        <w:rPr>
          <w:sz w:val="21"/>
          <w:szCs w:val="21"/>
        </w:rPr>
        <w:t>IDW '19 Secretariat</w:t>
      </w:r>
    </w:p>
    <w:p w:rsidR="00AD289E" w:rsidRPr="00AD289E" w:rsidRDefault="00AD289E" w:rsidP="00AD289E">
      <w:pPr>
        <w:ind w:leftChars="118" w:left="283" w:firstLineChars="1080" w:firstLine="2268"/>
        <w:rPr>
          <w:sz w:val="21"/>
          <w:szCs w:val="21"/>
        </w:rPr>
      </w:pPr>
      <w:r w:rsidRPr="00AD289E">
        <w:rPr>
          <w:sz w:val="21"/>
          <w:szCs w:val="21"/>
        </w:rPr>
        <w:t>c/o Bilingual Group Ltd.</w:t>
      </w:r>
    </w:p>
    <w:p w:rsidR="00AD289E" w:rsidRPr="00AD289E" w:rsidRDefault="00AD289E" w:rsidP="00AD289E">
      <w:pPr>
        <w:ind w:leftChars="118" w:left="283" w:firstLineChars="1080" w:firstLine="2268"/>
        <w:rPr>
          <w:sz w:val="21"/>
          <w:szCs w:val="21"/>
        </w:rPr>
      </w:pPr>
      <w:r w:rsidRPr="00AD289E">
        <w:rPr>
          <w:sz w:val="21"/>
          <w:szCs w:val="21"/>
        </w:rPr>
        <w:t xml:space="preserve">3-3-6 </w:t>
      </w:r>
      <w:proofErr w:type="spellStart"/>
      <w:r w:rsidRPr="00AD289E">
        <w:rPr>
          <w:sz w:val="21"/>
          <w:szCs w:val="21"/>
        </w:rPr>
        <w:t>Kudan</w:t>
      </w:r>
      <w:proofErr w:type="spellEnd"/>
      <w:r w:rsidRPr="00AD289E">
        <w:rPr>
          <w:sz w:val="21"/>
          <w:szCs w:val="21"/>
        </w:rPr>
        <w:t xml:space="preserve"> Minami, Chiyoda-</w:t>
      </w:r>
      <w:proofErr w:type="spellStart"/>
      <w:r w:rsidRPr="00AD289E">
        <w:rPr>
          <w:sz w:val="21"/>
          <w:szCs w:val="21"/>
        </w:rPr>
        <w:t>ku</w:t>
      </w:r>
      <w:proofErr w:type="spellEnd"/>
      <w:r w:rsidRPr="00AD289E">
        <w:rPr>
          <w:sz w:val="21"/>
          <w:szCs w:val="21"/>
        </w:rPr>
        <w:t>, Tokyo, 102-0074, Japan</w:t>
      </w:r>
    </w:p>
    <w:p w:rsidR="00AD289E" w:rsidRPr="00AD289E" w:rsidRDefault="00AD289E" w:rsidP="00AD289E">
      <w:pPr>
        <w:ind w:leftChars="118" w:left="283" w:firstLineChars="1080" w:firstLine="2268"/>
        <w:rPr>
          <w:sz w:val="21"/>
          <w:szCs w:val="21"/>
        </w:rPr>
      </w:pPr>
      <w:r w:rsidRPr="00AD289E">
        <w:rPr>
          <w:sz w:val="21"/>
          <w:szCs w:val="21"/>
        </w:rPr>
        <w:t>Phone: +81-3-3263-1345 Fax: +81-3-3263-1264</w:t>
      </w:r>
    </w:p>
    <w:p w:rsidR="00457A61" w:rsidRPr="002047E6" w:rsidRDefault="00AD289E" w:rsidP="00AD289E">
      <w:pPr>
        <w:ind w:leftChars="118" w:left="283" w:firstLineChars="1080" w:firstLine="2268"/>
        <w:rPr>
          <w:sz w:val="21"/>
          <w:szCs w:val="21"/>
        </w:rPr>
      </w:pPr>
      <w:r w:rsidRPr="00AD289E">
        <w:rPr>
          <w:sz w:val="21"/>
          <w:szCs w:val="21"/>
        </w:rPr>
        <w:t>E-mail: idw@idw.or.jp</w:t>
      </w:r>
    </w:p>
    <w:sectPr w:rsidR="00457A61" w:rsidRPr="002047E6" w:rsidSect="001F75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13"/>
    <w:rsid w:val="000B0B44"/>
    <w:rsid w:val="001F75C1"/>
    <w:rsid w:val="002047E6"/>
    <w:rsid w:val="00244542"/>
    <w:rsid w:val="00251F89"/>
    <w:rsid w:val="00457A61"/>
    <w:rsid w:val="00457F13"/>
    <w:rsid w:val="004D5758"/>
    <w:rsid w:val="00987832"/>
    <w:rsid w:val="00A52668"/>
    <w:rsid w:val="00AD289E"/>
    <w:rsid w:val="00F6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AFD5EA-0B30-4E2B-B22D-287566F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13"/>
    <w:pPr>
      <w:widowControl w:val="0"/>
      <w:adjustRightInd w:val="0"/>
      <w:spacing w:line="360" w:lineRule="atLeast"/>
      <w:jc w:val="both"/>
      <w:textAlignment w:val="baseline"/>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A61"/>
    <w:rPr>
      <w:color w:val="0563C1" w:themeColor="hyperlink"/>
      <w:u w:val="single"/>
    </w:rPr>
  </w:style>
  <w:style w:type="table" w:styleId="a4">
    <w:name w:val="Table Grid"/>
    <w:basedOn w:val="a1"/>
    <w:rsid w:val="00457A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dw.or.jp/" TargetMode="External"/><Relationship Id="rId4" Type="http://schemas.openxmlformats.org/officeDocument/2006/relationships/hyperlink" Target="https://www.id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梅林太郎</dc:creator>
  <cp:keywords/>
  <dc:description/>
  <cp:lastModifiedBy>梅林太郎</cp:lastModifiedBy>
  <cp:revision>3</cp:revision>
  <dcterms:created xsi:type="dcterms:W3CDTF">2019-06-05T00:45:00Z</dcterms:created>
  <dcterms:modified xsi:type="dcterms:W3CDTF">2019-06-05T06:38:00Z</dcterms:modified>
</cp:coreProperties>
</file>